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color w:val="222222"/>
          <w:highlight w:val="white"/>
          <w:rtl w:val="0"/>
        </w:rPr>
        <w:t xml:space="preserve">Dear TK,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My name is TK, and I’m an intern at </w:t>
      </w:r>
      <w:hyperlink r:id="rId5">
        <w:r w:rsidDel="00000000" w:rsidR="00000000" w:rsidRPr="00000000">
          <w:rPr>
            <w:rFonts w:ascii="Times" w:cs="Times" w:eastAsia="Times" w:hAnsi="Times"/>
            <w:i w:val="1"/>
            <w:color w:val="1155cc"/>
            <w:u w:val="single"/>
            <w:rtl w:val="0"/>
          </w:rPr>
          <w:t xml:space="preserve">Post Road Magazine</w:t>
        </w:r>
      </w:hyperlink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.  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I’m also an avid fan of your work.  [Explanation TK]  I’m writing to see if you might be interested in writing a recommendation for an upcoming issue of </w:t>
      </w: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Post Road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Post Road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 is a nationally-distributed literary magazine produced in partnership with the Boston College Department of English. We publish art, criticism, fiction, nonfiction, poetry, and theatre. In addition, every issue features brief (500-1000 words) recommendations, for which we ask our favorite authors to write about their a book they’re passionate about.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We can only offer modest compensation ($50 plus two contributor copies), but </w:t>
      </w: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Post Road 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is distributed nationally by Ingram and has an active online presence.  Numerous selections from </w:t>
      </w: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Post Road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 have also been recognized in the wider literary community: these include Debra Spark's 2009 Recommendation for Issue 15, which made the Pushcart Prize Special Mention List; Tom Perrotta's story "The Smile on Happy Chang's Face," which was selected for inclusion in </w:t>
      </w: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Best American Short Stories 2005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; and Gretchen Steele Pratt's poem "To my father on the anniversary of his death," which was selected for </w:t>
      </w: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Best American Poetry 2011.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  Past issues have also included recommendations by writers such as Julia Alvarez, Robert Olen Butler, Susan Choi, Mary Gaitskill, Amy Hempel, Edward Hoagland, and Rick Moody.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If you’d like more information about </w:t>
      </w: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Post Road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, I’d be happy to send you a copy of our latest issue.  Alternatively, recommendations are available online at our website,  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www.postroadmag.com</w:t>
        </w:r>
      </w:hyperlink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Thanks very much for your time and consideration.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All best,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TK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Intern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color w:val="222222"/>
          <w:rtl w:val="0"/>
        </w:rPr>
        <w:t xml:space="preserve">Post Road Magazine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postroadmag.com/" TargetMode="External"/><Relationship Id="rId6" Type="http://schemas.openxmlformats.org/officeDocument/2006/relationships/hyperlink" Target="http://www.postroadmag.com/" TargetMode="External"/></Relationships>
</file>